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62E1D0A8" w:rsidR="00011887" w:rsidRPr="00CE0424" w:rsidRDefault="00011887" w:rsidP="00011887">
      <w:pPr>
        <w:pStyle w:val="3GPPHeader"/>
        <w:spacing w:after="60"/>
        <w:rPr>
          <w:sz w:val="32"/>
          <w:szCs w:val="32"/>
          <w:highlight w:val="yellow"/>
        </w:rPr>
      </w:pPr>
      <w:r w:rsidRPr="00CE0424">
        <w:t>3GPP TSG-RAN WG</w:t>
      </w:r>
      <w:r>
        <w:t>2</w:t>
      </w:r>
      <w:r w:rsidR="00AF2D8F">
        <w:t xml:space="preserve"> NRAH#1801</w:t>
      </w:r>
      <w:r w:rsidRPr="00CE0424">
        <w:tab/>
      </w:r>
      <w:bookmarkStart w:id="0" w:name="_GoBack"/>
      <w:r w:rsidR="00A40B48" w:rsidRPr="00A40B48">
        <w:t>R2-1801329</w:t>
      </w:r>
      <w:bookmarkEnd w:id="0"/>
    </w:p>
    <w:p w14:paraId="56C12257" w14:textId="344C86F4" w:rsidR="00E90E49" w:rsidRPr="00CE0424" w:rsidRDefault="00282511" w:rsidP="00357380">
      <w:pPr>
        <w:pStyle w:val="3GPPHeader"/>
      </w:pPr>
      <w:r>
        <w:t>Vancouver, Canada, 22</w:t>
      </w:r>
      <w:r w:rsidRPr="00282511">
        <w:rPr>
          <w:vertAlign w:val="superscript"/>
        </w:rPr>
        <w:t>nd</w:t>
      </w:r>
      <w:r>
        <w:t>-26</w:t>
      </w:r>
      <w:r w:rsidRPr="00282511">
        <w:rPr>
          <w:vertAlign w:val="superscript"/>
        </w:rPr>
        <w:t>th</w:t>
      </w:r>
      <w:r>
        <w:t xml:space="preserve"> January 2018                   </w:t>
      </w:r>
      <w:r w:rsidR="00C23035">
        <w:t xml:space="preserve"> (</w:t>
      </w:r>
      <w:r w:rsidR="00C23035" w:rsidRPr="00C23035">
        <w:t>resubmission of R2-</w:t>
      </w:r>
      <w:r w:rsidR="00AF2D8F">
        <w:t>1713606</w:t>
      </w:r>
      <w:r w:rsidR="00C23035">
        <w:t>)</w:t>
      </w:r>
    </w:p>
    <w:p w14:paraId="4A4F422A" w14:textId="42D912AB" w:rsidR="00E90E49" w:rsidRPr="009F0A5A" w:rsidRDefault="00E90E49" w:rsidP="00311702">
      <w:pPr>
        <w:pStyle w:val="3GPPHeader"/>
        <w:rPr>
          <w:sz w:val="22"/>
          <w:lang w:val="en-US"/>
        </w:rPr>
      </w:pPr>
      <w:r w:rsidRPr="00B64DB1">
        <w:rPr>
          <w:sz w:val="22"/>
          <w:lang w:val="en-US"/>
        </w:rPr>
        <w:t>Agenda Item:</w:t>
      </w:r>
      <w:r w:rsidRPr="00B64DB1">
        <w:rPr>
          <w:sz w:val="22"/>
          <w:lang w:val="en-US"/>
        </w:rPr>
        <w:tab/>
      </w:r>
      <w:r w:rsidR="001140DC" w:rsidRPr="00A40B48">
        <w:rPr>
          <w:sz w:val="22"/>
          <w:lang w:val="en-US"/>
        </w:rPr>
        <w:t>10.</w:t>
      </w:r>
      <w:r w:rsidR="00B64DB1" w:rsidRPr="00A40B48">
        <w:rPr>
          <w:sz w:val="22"/>
          <w:lang w:val="en-US"/>
        </w:rPr>
        <w:t>2</w:t>
      </w:r>
      <w:r w:rsidR="036FD6B1" w:rsidRPr="00A40B48">
        <w:rPr>
          <w:sz w:val="22"/>
          <w:lang w:val="en-US"/>
        </w:rPr>
        <w:t>.7</w:t>
      </w:r>
      <w:r w:rsidR="005575AC">
        <w:rPr>
          <w:sz w:val="22"/>
          <w:lang w:val="en-US"/>
        </w:rPr>
        <w:t xml:space="preserve"> </w:t>
      </w:r>
    </w:p>
    <w:p w14:paraId="5DAA27F0" w14:textId="617F7573"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14DA7F15" w:rsidR="00E90E49" w:rsidRPr="00CE0424" w:rsidRDefault="003D3C45" w:rsidP="00311702">
      <w:pPr>
        <w:pStyle w:val="3GPPHeader"/>
        <w:rPr>
          <w:sz w:val="22"/>
        </w:rPr>
      </w:pPr>
      <w:r>
        <w:rPr>
          <w:sz w:val="22"/>
        </w:rPr>
        <w:t>Title:</w:t>
      </w:r>
      <w:r w:rsidR="00E90E49" w:rsidRPr="00CE0424">
        <w:rPr>
          <w:sz w:val="22"/>
        </w:rPr>
        <w:tab/>
      </w:r>
      <w:r w:rsidR="00FD6EE4">
        <w:rPr>
          <w:sz w:val="22"/>
        </w:rPr>
        <w:t>Conditional Handover</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6334941A" w14:textId="77776C49"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proposal but a final decision was not taken. In this </w:t>
      </w:r>
      <w:r w:rsidR="00054F93">
        <w:t>revision,</w:t>
      </w:r>
      <w:r w:rsidR="00A120F2">
        <w:t xml:space="preserve"> we try to address the concerns that were raised in the previous meeting. </w:t>
      </w:r>
    </w:p>
    <w:p w14:paraId="65C69124" w14:textId="5DF55570"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2" w:name="_Ref477972447"/>
      <w:r w:rsidRPr="00CE0424">
        <w:t>Discussion</w:t>
      </w:r>
      <w:bookmarkEnd w:id="2"/>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rPr>
          <w:lang w:val="en-US"/>
        </w:rPr>
      </w:pPr>
      <w:bookmarkStart w:id="3" w:name="_Toc461514225"/>
      <w:bookmarkStart w:id="4" w:name="_Toc463000883"/>
      <w:bookmarkStart w:id="5" w:name="_Toc463001397"/>
      <w:bookmarkStart w:id="6" w:name="_Toc463013022"/>
      <w:bookmarkStart w:id="7" w:name="_Toc463030102"/>
      <w:bookmarkStart w:id="8" w:name="_Toc463053252"/>
      <w:bookmarkStart w:id="9" w:name="_Toc463053289"/>
      <w:bookmarkStart w:id="10" w:name="_Toc466011539"/>
      <w:bookmarkStart w:id="11" w:name="_Toc471485785"/>
      <w:bookmarkStart w:id="12" w:name="_Toc471486533"/>
      <w:bookmarkStart w:id="13" w:name="_Toc471492265"/>
      <w:bookmarkStart w:id="14" w:name="_Toc471499740"/>
      <w:bookmarkStart w:id="15" w:name="_Toc471501324"/>
      <w:bookmarkStart w:id="16" w:name="_Toc473532940"/>
      <w:bookmarkStart w:id="17" w:name="_Toc473533018"/>
      <w:bookmarkStart w:id="18" w:name="_Toc473533369"/>
      <w:bookmarkStart w:id="19" w:name="_Toc477726043"/>
      <w:bookmarkStart w:id="20" w:name="_Toc477972465"/>
      <w:bookmarkStart w:id="21" w:name="_Toc477972559"/>
      <w:bookmarkStart w:id="22" w:name="_Toc477973277"/>
      <w:bookmarkStart w:id="23" w:name="_Toc477973290"/>
      <w:r w:rsidRPr="00DE4EA4">
        <w:rPr>
          <w:lang w:val="en-US"/>
        </w:rPr>
        <w:t>In some NR deployments and scenarios, the probability of HO failure could increase due to the dependency on the RRC signaling transmissions over the source node at a time when the UE has already moved into the coverage area of the target cell.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E4EA4">
        <w:rPr>
          <w:lang w:val="en-US"/>
        </w:rPr>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4" w:name="_Toc463053253"/>
      <w:bookmarkStart w:id="25" w:name="_Toc463053290"/>
      <w:bookmarkStart w:id="26" w:name="_Toc466011542"/>
      <w:bookmarkStart w:id="27" w:name="_Toc471485786"/>
      <w:bookmarkStart w:id="28" w:name="_Toc471486534"/>
      <w:bookmarkStart w:id="29" w:name="_Toc471492266"/>
      <w:bookmarkStart w:id="30" w:name="_Toc471499741"/>
      <w:bookmarkStart w:id="31" w:name="_Toc471501319"/>
      <w:bookmarkStart w:id="32" w:name="_Toc473532941"/>
      <w:bookmarkStart w:id="33" w:name="_Toc473533019"/>
      <w:bookmarkStart w:id="34" w:name="_Toc473533370"/>
      <w:bookmarkStart w:id="35" w:name="_Toc477726044"/>
      <w:bookmarkStart w:id="36" w:name="_Toc477972469"/>
      <w:bookmarkStart w:id="37" w:name="_Toc477972564"/>
      <w:bookmarkStart w:id="38" w:name="_Toc477973278"/>
      <w:bookmarkStart w:id="39"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D69D38" w14:textId="20BF8CF1" w:rsidR="006153EA" w:rsidRDefault="006153EA" w:rsidP="006153EA">
      <w:r>
        <w:t xml:space="preserve">Such a condition could e.g. </w:t>
      </w:r>
      <w:r w:rsidR="0049663C">
        <w:t>b</w:t>
      </w:r>
      <w:r w:rsidR="00A54556">
        <w:t xml:space="preserve">e that the UE detects out-of-synch for a configurable amount of time after sending the measurement report (same principle as T312 timer in LTE). Another example could </w:t>
      </w:r>
      <w:r>
        <w:t xml:space="preserve">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w:t>
      </w:r>
      <w:r>
        <w:lastRenderedPageBreak/>
        <w:t xml:space="preserve">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rPr>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07"/>
                            <a:ext cx="2219083" cy="225425"/>
                            <a:chOff x="194650" y="393007"/>
                            <a:chExt cx="2219083" cy="22542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1911" y="393007"/>
                              <a:ext cx="508635" cy="22542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olor w:val="7030A0"/>
                                    <w:kern w:val="24"/>
                                    <w:sz w:val="16"/>
                                    <w:szCs w:val="16"/>
                                  </w:rPr>
                                  <w:t>UP data</w:t>
                                </w:r>
                              </w:p>
                            </w:txbxContent>
                          </wps:txbx>
                          <wps:bodyPr wrap="none" rtlCol="0">
                            <a:spAutoFit/>
                          </wps:bodyPr>
                        </wps:wsp>
                      </wpg:grpSp>
                      <wpg:grpSp>
                        <wpg:cNvPr id="7" name="Group 7"/>
                        <wpg:cNvGrpSpPr/>
                        <wpg:grpSpPr>
                          <a:xfrm>
                            <a:off x="194649" y="629229"/>
                            <a:ext cx="2219084" cy="225425"/>
                            <a:chOff x="194649" y="629229"/>
                            <a:chExt cx="2219084" cy="225425"/>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20" y="629229"/>
                              <a:ext cx="2072640" cy="225425"/>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olor w:val="0070C0"/>
                                    <w:kern w:val="24"/>
                                    <w:sz w:val="16"/>
                                    <w:szCs w:val="16"/>
                                  </w:rPr>
                                  <w:t>1. Measurement report (”low” threshold)</w:t>
                                </w:r>
                              </w:p>
                            </w:txbxContent>
                          </wps:txbx>
                          <wps:bodyPr wrap="square" rtlCol="0">
                            <a:spAutoFit/>
                          </wps:bodyPr>
                        </wps:wsp>
                      </wpg:grpSp>
                      <wpg:grpSp>
                        <wpg:cNvPr id="8" name="Group 8"/>
                        <wpg:cNvGrpSpPr/>
                        <wpg:grpSpPr>
                          <a:xfrm>
                            <a:off x="2429760" y="1326303"/>
                            <a:ext cx="1856285" cy="225425"/>
                            <a:chOff x="2429760" y="1326303"/>
                            <a:chExt cx="1856285" cy="22542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5996" y="1326303"/>
                              <a:ext cx="1174750" cy="22542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26"/>
                            <a:ext cx="1851355" cy="225425"/>
                            <a:chOff x="2455153" y="1992526"/>
                            <a:chExt cx="1851355" cy="225425"/>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474" y="1992526"/>
                              <a:ext cx="1300480" cy="22542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08"/>
                            <a:ext cx="2219084" cy="359410"/>
                            <a:chOff x="185360" y="2190508"/>
                            <a:chExt cx="2219084" cy="359410"/>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069" y="2190508"/>
                              <a:ext cx="2072005" cy="359410"/>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olor w:val="0070C0"/>
                                    <w:kern w:val="24"/>
                                    <w:sz w:val="16"/>
                                    <w:szCs w:val="16"/>
                                    <w:lang w:val="en-US"/>
                                  </w:rPr>
                                </w:pPr>
                                <w:r w:rsidRPr="00C8625D">
                                  <w:rPr>
                                    <w:rFonts w:asciiTheme="minorHAnsi" w:hAnsi="Calibr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olor w:val="000000" w:themeColor="text1"/>
                                  <w:kern w:val="24"/>
                                  <w:sz w:val="16"/>
                                  <w:szCs w:val="16"/>
                                  <w:lang w:val="en-US"/>
                                </w:rPr>
                                <w:t xml:space="preserve">Measurements fulfill  HO Condition </w:t>
                              </w:r>
                              <w:r w:rsidRPr="00AF0431">
                                <w:rPr>
                                  <w:rFonts w:asciiTheme="minorHAnsi" w:hAnsi="Calibri"/>
                                  <w:color w:val="000000" w:themeColor="text1"/>
                                  <w:kern w:val="24"/>
                                  <w:sz w:val="16"/>
                                  <w:szCs w:val="16"/>
                                </w:rPr>
                                <w:sym w:font="Wingdings" w:char="F0E8"/>
                              </w:r>
                              <w:r w:rsidRPr="00C8625D">
                                <w:rPr>
                                  <w:rFonts w:asciiTheme="minorHAnsi" w:hAnsi="Calibri"/>
                                  <w:color w:val="000000" w:themeColor="text1"/>
                                  <w:kern w:val="24"/>
                                  <w:sz w:val="16"/>
                                  <w:szCs w:val="16"/>
                                  <w:lang w:val="en-US"/>
                                </w:rPr>
                                <w:t xml:space="preserve"> UE triggers pending cond. </w:t>
                              </w:r>
                              <w:r>
                                <w:rPr>
                                  <w:rFonts w:asciiTheme="minorHAnsi" w:hAnsi="Calibr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044" y="3194785"/>
                            <a:ext cx="1869440" cy="225425"/>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24"/>
                            <a:ext cx="4070439" cy="225977"/>
                            <a:chOff x="180192" y="3545824"/>
                            <a:chExt cx="2219084" cy="225977"/>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09" y="3545824"/>
                              <a:ext cx="2072254" cy="225425"/>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olor w:val="0070C0"/>
                                    <w:kern w:val="24"/>
                                    <w:sz w:val="16"/>
                                    <w:szCs w:val="16"/>
                                  </w:rPr>
                                  <w:t>6. HO confirm</w:t>
                                </w:r>
                              </w:p>
                            </w:txbxContent>
                          </wps:txbx>
                          <wps:bodyPr wrap="square" rtlCol="0">
                            <a:spAutoFit/>
                          </wps:bodyPr>
                        </wps:wsp>
                      </wpg:grpSp>
                      <wpg:grpSp>
                        <wpg:cNvPr id="19" name="Group 19"/>
                        <wpg:cNvGrpSpPr/>
                        <wpg:grpSpPr>
                          <a:xfrm>
                            <a:off x="2429758" y="3838125"/>
                            <a:ext cx="1851355" cy="225425"/>
                            <a:chOff x="2429758" y="3838125"/>
                            <a:chExt cx="1851355" cy="225425"/>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112" y="3838125"/>
                              <a:ext cx="879475" cy="22542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olor w:val="0070C0"/>
                                    <w:kern w:val="24"/>
                                    <w:sz w:val="16"/>
                                    <w:szCs w:val="16"/>
                                  </w:rPr>
                                  <w:t>7. HO completed</w:t>
                                </w:r>
                              </w:p>
                            </w:txbxContent>
                          </wps:txbx>
                          <wps:bodyPr wrap="none" rtlCol="0">
                            <a:spAutoFit/>
                          </wps:bodyPr>
                        </wps:wsp>
                      </wpg:grpSp>
                      <wpg:grpSp>
                        <wpg:cNvPr id="20" name="Group 20"/>
                        <wpg:cNvGrpSpPr/>
                        <wpg:grpSpPr>
                          <a:xfrm>
                            <a:off x="194653" y="4081446"/>
                            <a:ext cx="4080241" cy="225425"/>
                            <a:chOff x="194653" y="4081446"/>
                            <a:chExt cx="4080241" cy="22542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5971" y="4081446"/>
                              <a:ext cx="531495" cy="225425"/>
                            </a:xfrm>
                            <a:prstGeom prst="rect">
                              <a:avLst/>
                            </a:prstGeom>
                            <a:noFill/>
                          </wps:spPr>
                          <wps:txbx>
                            <w:txbxContent>
                              <w:p w14:paraId="1FAD0A3F" w14:textId="2B9EC786" w:rsidR="00D53AC4" w:rsidRDefault="00D53AC4" w:rsidP="0031086B">
                                <w:pPr>
                                  <w:pStyle w:val="NormalWeb"/>
                                  <w:spacing w:before="0" w:beforeAutospacing="0" w:after="0" w:afterAutospacing="0"/>
                                </w:pPr>
                                <w:r>
                                  <w:rPr>
                                    <w:rFonts w:asciiTheme="minorHAnsi" w:hAnsi="Calibri"/>
                                    <w:color w:val="7030A0"/>
                                    <w:kern w:val="24"/>
                                    <w:sz w:val="16"/>
                                    <w:szCs w:val="16"/>
                                  </w:rPr>
                                  <w:t>UP  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AKA0goAAOJSAAAOAAAAZHJzL2Uyb0RvYy54bWzsXG1zm0gS/n5V+x8ofd+YmeFVFWfL66xz&#10;V5XaSyW5288EoZdaCTjAsby//p55YQYQSJYty95d8sERMAxM0/1099MNb3/abtbW96QoV1l6OSFv&#10;7ImVpHE2W6WLy8l/vt78GEyssorSWbTO0uRycp+Uk5/e/fCPt3f5NKHZMlvPksLCJGk5vcsvJ8uq&#10;yqcXF2W8TDZR+SbLkxQH51mxiSpsFouLWRHdYfbN+oLatndxlxWzvMjipCyx9708OHkn5p/Pk7j6&#10;93xeJpW1vpzg3irxtxB/v/G/F+/eRtNFEeXLVaxuI3rEXWyiVYqL6qneR1Vk3Rarnak2q7jIymxe&#10;vYmzzUU2n6/iRKwBqyF2ZzUfiuw2F2tZTO8WuRYTRNuR06OnjX/9/qmwVrPLie9OrDTa4BmJy1q+&#10;w4Vzly+mGPOhyL/knwq1YyG3+Hq382LD/8dKrK0Q670Wa7KtrBg7XRr4TuhNrBjHHNcJ3CCUgo+X&#10;eDr8vB8d3yP8DszZ8fKXA+df1Je/4Hepb0pv6LtXK6TtBdJTrY8FIQ3DfcuD5vUtbODEwXXBREqj&#10;BeXTtODLMsoToVwlf8JKRg6phfQZthOli3ViYZ948GKcVoNyWkIjHqoDzaUy2C3x+Zx6pdE0L8rq&#10;Q5JtLP7jclLg6sKgou8fy0oOrYfwa6bZzWq95vvv8vpOxK/qfp3wAev0czKHYkO5qJhIQEpyvS6s&#10;7xHAIIrjJK2IPLSMZonc7dr4p25NnyFuVEzIZ57jwnpuNQGHq9255W2r8fzURCCSPtned2PyZH2G&#10;uHKWVvrkzSrNir4J1liVurIcXwtJioZLqdp+22II//ktm93j2ReZhMYyj29WeAIfo7L6FBXAQugu&#10;8B1Hl1nxx8S6A1ZeTsr/3UZFMrHW/0qhhiFxHA6uYsNxfYqNonnkW/NIeru5zvAEoGm4mvjJx1fr&#10;+ue8yDa/Adav+FVxKEpjXPtyEldFvXFdSQyHY4iTqysxDICaR9XH9Ese88m5wLjGfN3+FhW5UqsK&#10;mPRrVqt+NO1olxzLz0yzq9sqm6+E6hk5KVHCDKX0nt8eNWh9qYpotVhW1nWWprCOrLAcBWHCMK9T&#10;aY3xFhL4mMW/l3jC0bSsrrepAHhu2soeuHrwRcHu5Wl8Y8CcSeh4Lp4CAMwYLlRZgTOOCFinjh/6&#10;4n6GjXq9Sjni7Iid2z3fvU7FHWfr1Yxbt9hoW1a1rXW7NKNwQX7mA5DgAdbab+YPsNRzm7kRxXzI&#10;zKVt1w9bKK1xldI7Cq/ZdZSs9gEyEmAS/o8KBKjt2aEv1UZFWbXG+ISEIXRxOBroOdlEAwOna60z&#10;K+T2wBX72Y2UwfnL0Mk4TexTCAsjO+w0e5bcJy9hgYGC9zr2qv3i6DqVT+ca33C2HEeUjUgAfKrr&#10;FHCqg6LRgzbis1foQQFC0jj7PKjAppYrjKaDHpTb+UM9qDVfr/J/1oGISo+oQ5jPAK+1MxWmbJwp&#10;o/yg8ae1sxuw9NGfDsXcjwibn9GfOrUGSn/6mMSahYQy2kqQ+/xDf3bdc/Lr9qd+LbCGPxUJo7LU&#10;w/60Z8l98hr9qcqRHxDgPsKmHpiKCn+qc5nRn75qf8rA6A76Uxw0Ue/BjJTBzp/kTx2K1DTADY3+&#10;tCdZrikuGQ7/GfPTM+RumvXWrmZqfc5u01kyA9NSpChtWG5DqQ+7HhIwz/GR4EIpwYz5TCCbCfII&#10;YcT3azrcCRAUHkjo+O3w29vHnTT4EJA+xeKbZjpvwpufw/fqEq1hz863jMyrJKXazKtwd4pUGQnY&#10;Fr1/ZPqoqj5d/gq21axkedJ8j+KvmqxniChRRJ/GhikloR2oXI1S10FoDphF7lhXtAYmMHH3wBQv&#10;ymNpMNSp8lVRZHcNypk1sbDXwQuNHySWTVosfv23kyA3pOb6XigJ7gGx12WageS4VHy5pssl+dth&#10;/PdRz00Q9W1mX9VXbIEoZ9/eR+VS1o9m+CU1oYpW61/SmVXd56ipVsVKFNMUDI98dTKvGXsDjj18&#10;9Xn4Ww0YX5Ek/pxtLdqMY7nLt6ot9nNtVfFt2V/89AISEun7WQ9uIFr1YEKC4jGwoW3+ZGVQXuAT&#10;bkZxDdrNyPJdil6MZslNBI85r3jd7Kt4GWp9T/FA5+6qjUAK7GjwdcC1IYDyaEip6haoE3iJnCBV&#10;OFFmpNgB354JuuC7M4V+EGal5ysi6KrLMPjqoEHja4et3A++/DErJpIDrZJQQHzChI/sAq2STw17&#10;JwTaERyH6prHFPPOA46avazBkTVJ82PAkXqOy3sDhuza9jFCFZSNXWujPD066mBGcU7t5gbTknBK&#10;fNT0icRH5WiOwkfq0ND3pCAJox6zBTAY8yWB69Fgx880EHJwCoORA5Pox/ESGAnP2uGedgJU7aEV&#10;Ru731y05uLbvQqwikK+dTUsKIxLGpgHpeSjjx5VhzoOEuhdHI6EmrVWR/6FhIg2IG/KWSEBhvwUT&#10;3/F52007xtHGd3osVFlyJ1KsG72eiIVnIPJ2ezB2ibzjejKY7yDxRzzLH5Lrh4yIaLoBs7ZPqKOi&#10;JIeF1DvU1TgyeTzv+8v0UIoUSxcmx8LV4wtXA0weAQI2qTxsC39+ZLjkusSVXRdoPaMu7WQ78PGE&#10;ufvDpYEpWuFS3yQasV8gXELifChckrm1KqtzPq8nXDrA2VHHyAapuc0CEYI1YLIp3jGE+luHUNqe&#10;dQil4fPYEMpz0XMM58u9c69Vg7Z3gnOGUJo0bKWTz0m2caqxhY8q+zkKHwF/TGWTvKwBjrKdArX4&#10;NuaGjkThRjY5NINBx4E5XhQdNVM5SLjRpnIeRMcmvdYQKWPMdToepyWOERL/zpCIUoMy4RoSnabW&#10;HcWv4e0lT/Lm/YYMgs22VZxjDFkb4emTSp1wtRDxz5NUEghL4uue9hAMUlGTcmE9MVQDG5rvOlIv&#10;xLsQnfoGYehpAgiL3N91mEcEvbfnMY1p5V8vraxTHU3IjK/omdf5uDm9llf0iK4eD8YRGGIQYl8c&#10;sdMPEdhuIBkoxkLbczuhmWMHPrMB+ZwmFLHfMEo8vSFiqGbV6ocYS3tDYnp1pT28hN0JPTzdL3Bk&#10;Noa3EwKbU6HQQ4biso/qE1S+SQKgneesxT3kRsroThN8DH5XgOgITpb0sC0ufFwShs4RdIoK+bmO&#10;i67Qtvwc27dBMeuCQAhiWgjYdJwFNgl7ZhhIwlBgVXNoyHgJikoHWIPgKVvrGhQVV6vWO1oP73po&#10;iMj3CbbaQh7TMvFpA2G35/hUwSsu9oEj7mLjY9MylOdd7qM5NPaZNkVahhZSbdqqmVSb5enTMqLr&#10;lqeBRgMcexrDkOYoiSqYVMnhUTAp6vWIgoQwA1DNdeNto17fR8M3yKrBKQxQDhQE9BMx6z1bexg9&#10;3B6GIcrhwXnvizLFa6m9/bdN2Ti2yxyv+/LCyOXzj7+MCInOSyCW5EZq4grfezAKeAxxBaYeXbMq&#10;dumz6sBHSLlToNP2+AwIqW2phZDPyeXzzrgml4/tR4SR/GststSJ3BDf5ekQz9hp8xeOOn0lDXgU&#10;Lfg9Mxh0HJhDP42XQEddBxkOI3U6oNDxyDDSVEH5iY022lrc1COeu0/cz8DztzLv1ltf4wsLT/0Y&#10;yGsOTnc60XyNV8cm7raDPBDmg+i0FzFctD2FZ4VezUGcGnoFMOFDiuLzMOqjj/xLjc1t8VaK+TTl&#10;u/8DAAD//wMAUEsDBBQABgAIAAAAIQDhpvUZ3QAAAAUBAAAPAAAAZHJzL2Rvd25yZXYueG1sTI/N&#10;asMwEITvhb6D2EJvjeyY/OBaDiEkPYVCk0LpbWNtbBNrZSzFdt4+ai/tZWGYYebbbDWaRvTUudqy&#10;gngSgSAurK65VPB53L0sQTiPrLGxTApu5GCVPz5kmGo78Af1B1+KUMIuRQWV920qpSsqMugmtiUO&#10;3tl2Bn2QXSl1h0MoN42cRtFcGqw5LFTY0qai4nK4GgVvAw7rJN72+8t5c/s+zt6/9jEp9fw0rl9B&#10;eBr9Xxh+8AM65IHpZK+snWgUhEf87w3eMpkuQJwULOJ5AjLP5H/6/A4AAP//AwBQSwECLQAUAAYA&#10;CAAAACEAtoM4kv4AAADhAQAAEwAAAAAAAAAAAAAAAAAAAAAAW0NvbnRlbnRfVHlwZXNdLnhtbFBL&#10;AQItABQABgAIAAAAIQA4/SH/1gAAAJQBAAALAAAAAAAAAAAAAAAAAC8BAABfcmVscy8ucmVsc1BL&#10;AQItABQABgAIAAAAIQA1SAKA0goAAOJSAAAOAAAAAAAAAAAAAAAAAC4CAABkcnMvZTJvRG9jLnht&#10;bFBLAQItABQABgAIAAAAIQDhpvUZ3QAAAAUBAAAPAAAAAAAAAAAAAAAAACwNAABkcnMvZG93bnJl&#10;di54bWxQSwUGAAAAAAQABADzAAAANg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olor w:val="000000" w:themeColor="text1"/>
                            <w:kern w:val="24"/>
                            <w:sz w:val="16"/>
                            <w:szCs w:val="14"/>
                            <w:lang w:val="en-US"/>
                          </w:rPr>
                          <w:t>HO decision based on early report</w:t>
                        </w:r>
                      </w:p>
                    </w:txbxContent>
                  </v:textbox>
                </v:roundrect>
                <v:group id="Group 6" o:spid="_x0000_s1037" style="position:absolute;left:1946;top:3930;width:22191;height:2254" coordorigin="1946,3930" coordsize="22190,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19;top:3930;width:5086;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olor w:val="7030A0"/>
                              <w:kern w:val="24"/>
                              <w:sz w:val="16"/>
                              <w:szCs w:val="16"/>
                            </w:rPr>
                            <w:t>UP data</w:t>
                          </w:r>
                        </w:p>
                      </w:txbxContent>
                    </v:textbox>
                  </v:shape>
                </v:group>
                <v:group id="Group 7" o:spid="_x0000_s1040" style="position:absolute;left:1946;top:6292;width:22191;height:2254" coordorigin="1946,6292" coordsize="22190,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6;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olor w:val="0070C0"/>
                              <w:kern w:val="24"/>
                              <w:sz w:val="16"/>
                              <w:szCs w:val="16"/>
                            </w:rPr>
                            <w:t>1. Measurement report (”low” threshold)</w:t>
                          </w:r>
                        </w:p>
                      </w:txbxContent>
                    </v:textbox>
                  </v:shape>
                </v:group>
                <v:group id="Group 8" o:spid="_x0000_s1043" style="position:absolute;left:24297;top:13263;width:18563;height:2254" coordorigin="24297,13263" coordsize="18562,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59;top:13263;width:11748;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olor w:val="000000" w:themeColor="text1"/>
                            <w:kern w:val="24"/>
                            <w:sz w:val="16"/>
                            <w:szCs w:val="16"/>
                          </w:rPr>
                          <w:t>Accept HO, build RRC config</w:t>
                        </w:r>
                      </w:p>
                    </w:txbxContent>
                  </v:textbox>
                </v:roundrect>
                <v:group id="Group 10" o:spid="_x0000_s1047" style="position:absolute;left:24551;top:19925;width:18514;height:2254" coordorigin="24551,19925" coordsize="18513,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4;top:19925;width:13005;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olor w:val="0070C0"/>
                              <w:kern w:val="24"/>
                              <w:sz w:val="16"/>
                              <w:szCs w:val="16"/>
                              <w:lang w:val="en-US"/>
                            </w:rPr>
                            <w:t>3. HO Ack (incl. RRC config)</w:t>
                          </w:r>
                        </w:p>
                      </w:txbxContent>
                    </v:textbox>
                  </v:shape>
                </v:group>
                <v:group id="Group 11" o:spid="_x0000_s1050" style="position:absolute;left:1853;top:21905;width:22191;height:3594" coordorigin="1853,21905" coordsize="22190,3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0;top:21905;width:20720;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olor w:val="0070C0"/>
                              <w:kern w:val="24"/>
                              <w:sz w:val="16"/>
                              <w:szCs w:val="16"/>
                              <w:lang w:val="en-US"/>
                            </w:rPr>
                          </w:pPr>
                          <w:r w:rsidRPr="00C8625D">
                            <w:rPr>
                              <w:rFonts w:asciiTheme="minorHAnsi" w:hAnsi="Calibr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olor w:val="000000" w:themeColor="text1"/>
                            <w:kern w:val="24"/>
                            <w:sz w:val="16"/>
                            <w:szCs w:val="16"/>
                            <w:lang w:val="en-US"/>
                          </w:rPr>
                          <w:t xml:space="preserve">Measurements fulfill  HO Condition </w:t>
                        </w:r>
                        <w:r w:rsidRPr="00AF0431">
                          <w:rPr>
                            <w:rFonts w:asciiTheme="minorHAnsi" w:hAnsi="Calibri"/>
                            <w:color w:val="000000" w:themeColor="text1"/>
                            <w:kern w:val="24"/>
                            <w:sz w:val="16"/>
                            <w:szCs w:val="16"/>
                          </w:rPr>
                          <w:sym w:font="Wingdings" w:char="F0E8"/>
                        </w:r>
                        <w:r w:rsidRPr="00C8625D">
                          <w:rPr>
                            <w:rFonts w:asciiTheme="minorHAnsi" w:hAnsi="Calibri"/>
                            <w:color w:val="000000" w:themeColor="text1"/>
                            <w:kern w:val="24"/>
                            <w:sz w:val="16"/>
                            <w:szCs w:val="16"/>
                            <w:lang w:val="en-US"/>
                          </w:rPr>
                          <w:t xml:space="preserve"> UE triggers pending cond. </w:t>
                        </w:r>
                        <w:r>
                          <w:rPr>
                            <w:rFonts w:asciiTheme="minorHAnsi" w:hAnsi="Calibr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0;top:31947;width:18694;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2;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olor w:val="0070C0"/>
                              <w:kern w:val="24"/>
                              <w:sz w:val="16"/>
                              <w:szCs w:val="16"/>
                            </w:rPr>
                            <w:t>6. HO confirm</w:t>
                          </w:r>
                        </w:p>
                      </w:txbxContent>
                    </v:textbox>
                  </v:shape>
                </v:group>
                <v:group id="Group 19" o:spid="_x0000_s1059" style="position:absolute;left:24297;top:38381;width:18514;height:2254" coordorigin="24297,38381" coordsize="18513,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1;top:38381;width:8794;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olor w:val="0070C0"/>
                              <w:kern w:val="24"/>
                              <w:sz w:val="16"/>
                              <w:szCs w:val="16"/>
                            </w:rPr>
                            <w:t>7. HO completed</w:t>
                          </w:r>
                        </w:p>
                      </w:txbxContent>
                    </v:textbox>
                  </v:shape>
                </v:group>
                <v:group id="Group 20" o:spid="_x0000_s1062" style="position:absolute;left:1946;top:40814;width:40802;height:2254" coordorigin="1946,40814" coordsize="40802,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59;top:40814;width:5315;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r>
                            <w:rPr>
                              <w:rFonts w:asciiTheme="minorHAnsi" w:hAnsi="Calibri"/>
                              <w:color w:val="7030A0"/>
                              <w:kern w:val="24"/>
                              <w:sz w:val="16"/>
                              <w:szCs w:val="16"/>
                            </w:rPr>
                            <w:t>UP  data</w:t>
                          </w:r>
                        </w:p>
                      </w:txbxContent>
                    </v:textbox>
                  </v:shape>
                </v:group>
                <w10:anchorlock/>
              </v:group>
            </w:pict>
          </mc:Fallback>
        </mc:AlternateContent>
      </w:r>
    </w:p>
    <w:p w14:paraId="10830421" w14:textId="57EC8836" w:rsidR="006153EA" w:rsidRDefault="006153EA" w:rsidP="006153EA">
      <w:pPr>
        <w:pStyle w:val="Caption"/>
      </w:pPr>
      <w:bookmarkStart w:id="40"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40"/>
      <w:r>
        <w:t xml:space="preserve">: Conditional handover execution </w:t>
      </w:r>
    </w:p>
    <w:p w14:paraId="0D422D79" w14:textId="78E9914E"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w:t>
      </w:r>
      <w:r w:rsidR="008B23D2">
        <w:t>practice,</w:t>
      </w:r>
      <w:r>
        <w:t xml:space="preserv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w:t>
      </w:r>
      <w:r w:rsidR="008B23D2">
        <w:t>those candidates</w:t>
      </w:r>
      <w:r>
        <w:t xml:space="preserv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lastRenderedPageBreak/>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158A0CEB"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w:t>
      </w:r>
      <w:r w:rsidR="008B23D2">
        <w:t>condition,</w:t>
      </w:r>
      <w:r>
        <w:t xml:space="preserve"> it should continue operating per its current RRC configuration, i.e., without applying the conditional HO command. </w:t>
      </w:r>
    </w:p>
    <w:p w14:paraId="62A5090A" w14:textId="3B571716" w:rsidR="001518C4" w:rsidRDefault="001518C4" w:rsidP="001518C4">
      <w:pPr>
        <w:pStyle w:val="Proposal"/>
      </w:pPr>
      <w:bookmarkStart w:id="41" w:name="_Toc471492267"/>
      <w:bookmarkStart w:id="42" w:name="_Toc471499742"/>
      <w:bookmarkStart w:id="43" w:name="_Toc471501320"/>
      <w:bookmarkStart w:id="44" w:name="_Toc473532942"/>
      <w:bookmarkStart w:id="45" w:name="_Toc473533020"/>
      <w:bookmarkStart w:id="46" w:name="_Toc473533371"/>
      <w:bookmarkStart w:id="47" w:name="_Toc477726045"/>
      <w:bookmarkStart w:id="48" w:name="_Toc477972470"/>
      <w:bookmarkStart w:id="49" w:name="_Toc477972565"/>
      <w:bookmarkStart w:id="50" w:name="_Toc477973279"/>
      <w:bookmarkStart w:id="51" w:name="_Toc477973292"/>
      <w:r>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1"/>
      <w:bookmarkEnd w:id="42"/>
      <w:bookmarkEnd w:id="43"/>
      <w:bookmarkEnd w:id="44"/>
      <w:bookmarkEnd w:id="45"/>
      <w:bookmarkEnd w:id="46"/>
      <w:bookmarkEnd w:id="47"/>
      <w:bookmarkEnd w:id="48"/>
      <w:bookmarkEnd w:id="49"/>
      <w:bookmarkEnd w:id="50"/>
      <w:bookmarkEnd w:id="51"/>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2" w:name="_Toc471492268"/>
      <w:bookmarkStart w:id="53" w:name="_Toc471499743"/>
      <w:bookmarkStart w:id="54" w:name="_Toc471501321"/>
      <w:bookmarkStart w:id="55" w:name="_Toc473532943"/>
      <w:bookmarkStart w:id="56" w:name="_Toc473533021"/>
      <w:bookmarkStart w:id="57" w:name="_Toc473533372"/>
      <w:bookmarkStart w:id="58" w:name="_Toc477726046"/>
      <w:bookmarkStart w:id="59" w:name="_Toc477972471"/>
      <w:bookmarkStart w:id="60" w:name="_Toc477972566"/>
      <w:bookmarkStart w:id="61" w:name="_Toc477973280"/>
      <w:bookmarkStart w:id="62"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2"/>
      <w:bookmarkEnd w:id="53"/>
      <w:bookmarkEnd w:id="54"/>
      <w:bookmarkEnd w:id="55"/>
      <w:bookmarkEnd w:id="56"/>
      <w:bookmarkEnd w:id="57"/>
      <w:bookmarkEnd w:id="58"/>
      <w:bookmarkEnd w:id="59"/>
      <w:bookmarkEnd w:id="60"/>
      <w:bookmarkEnd w:id="61"/>
      <w:bookmarkEnd w:id="62"/>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3" w:name="_Ref471492208"/>
      <w:bookmarkStart w:id="64" w:name="_Toc471492269"/>
      <w:bookmarkStart w:id="65" w:name="_Toc471499744"/>
      <w:bookmarkStart w:id="66" w:name="_Toc473533022"/>
      <w:bookmarkStart w:id="67" w:name="_Toc473533373"/>
      <w:bookmarkStart w:id="68" w:name="_Toc477726047"/>
      <w:bookmarkStart w:id="69" w:name="_Toc477972472"/>
      <w:bookmarkStart w:id="70" w:name="_Toc477972567"/>
      <w:bookmarkStart w:id="71" w:name="_Toc477973281"/>
      <w:bookmarkStart w:id="72" w:name="_Toc477973294"/>
      <w:r>
        <w:lastRenderedPageBreak/>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3"/>
      <w:bookmarkEnd w:id="64"/>
      <w:bookmarkEnd w:id="65"/>
      <w:bookmarkEnd w:id="66"/>
      <w:bookmarkEnd w:id="67"/>
      <w:bookmarkEnd w:id="68"/>
      <w:bookmarkEnd w:id="69"/>
      <w:bookmarkEnd w:id="70"/>
      <w:bookmarkEnd w:id="71"/>
      <w:bookmarkEnd w:id="72"/>
      <w:r w:rsidRPr="009A5D55">
        <w:t xml:space="preserve"> </w:t>
      </w:r>
    </w:p>
    <w:p w14:paraId="049D0690" w14:textId="77777777" w:rsidR="00AB72DE" w:rsidRDefault="00AB72DE" w:rsidP="00AB72DE">
      <w:pPr>
        <w:pStyle w:val="Proposal"/>
      </w:pPr>
      <w:bookmarkStart w:id="73" w:name="_Toc471492270"/>
      <w:bookmarkStart w:id="74" w:name="_Toc471499745"/>
      <w:bookmarkStart w:id="75" w:name="_Toc473533023"/>
      <w:bookmarkStart w:id="76" w:name="_Toc473533374"/>
      <w:bookmarkStart w:id="77" w:name="_Toc477726048"/>
      <w:bookmarkStart w:id="78" w:name="_Toc477972473"/>
      <w:bookmarkStart w:id="79" w:name="_Toc477972568"/>
      <w:bookmarkStart w:id="80" w:name="_Toc477973282"/>
      <w:bookmarkStart w:id="81"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3"/>
      <w:bookmarkEnd w:id="74"/>
      <w:bookmarkEnd w:id="75"/>
      <w:bookmarkEnd w:id="76"/>
      <w:bookmarkEnd w:id="77"/>
      <w:bookmarkEnd w:id="78"/>
      <w:bookmarkEnd w:id="79"/>
      <w:bookmarkEnd w:id="80"/>
      <w:bookmarkEnd w:id="81"/>
      <w:r>
        <w:t xml:space="preserve"> </w:t>
      </w:r>
    </w:p>
    <w:p w14:paraId="17117C76" w14:textId="4DC0FC9E" w:rsidR="00AB72DE" w:rsidRDefault="00AB72DE" w:rsidP="00AB72DE">
      <w:r>
        <w:t xml:space="preserve">On the other hand, the network may decide to provide a new, updated conditional HO command for a target cell for which it had previously provided a conditional HO command. In this </w:t>
      </w:r>
      <w:r w:rsidR="008B23D2">
        <w:t>case,</w:t>
      </w:r>
      <w:r>
        <w:t xml:space="preserve"> the UE applies that new one instead of the previous one:</w:t>
      </w:r>
    </w:p>
    <w:p w14:paraId="14E06C8C" w14:textId="77777777" w:rsidR="00AB72DE" w:rsidRDefault="00AB72DE" w:rsidP="00AB72DE">
      <w:pPr>
        <w:pStyle w:val="Proposal"/>
      </w:pPr>
      <w:bookmarkStart w:id="82" w:name="_Toc471492271"/>
      <w:bookmarkStart w:id="83" w:name="_Toc471499746"/>
      <w:bookmarkStart w:id="84" w:name="_Toc473533024"/>
      <w:bookmarkStart w:id="85" w:name="_Toc473533375"/>
      <w:bookmarkStart w:id="86" w:name="_Toc477726049"/>
      <w:bookmarkStart w:id="87" w:name="_Toc477972474"/>
      <w:bookmarkStart w:id="88" w:name="_Toc477972569"/>
      <w:bookmarkStart w:id="89" w:name="_Toc477973283"/>
      <w:bookmarkStart w:id="90"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2"/>
      <w:bookmarkEnd w:id="83"/>
      <w:bookmarkEnd w:id="84"/>
      <w:bookmarkEnd w:id="85"/>
      <w:bookmarkEnd w:id="86"/>
      <w:bookmarkEnd w:id="87"/>
      <w:bookmarkEnd w:id="88"/>
      <w:bookmarkEnd w:id="89"/>
      <w:bookmarkEnd w:id="90"/>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1" w:name="_Toc471492272"/>
      <w:bookmarkStart w:id="92" w:name="_Toc471499747"/>
      <w:bookmarkStart w:id="93" w:name="_Toc473533025"/>
      <w:bookmarkStart w:id="94" w:name="_Toc473533376"/>
      <w:bookmarkStart w:id="95" w:name="_Toc477726050"/>
      <w:bookmarkStart w:id="96" w:name="_Toc477972475"/>
      <w:bookmarkStart w:id="97" w:name="_Toc477972570"/>
      <w:bookmarkStart w:id="98" w:name="_Toc477973284"/>
      <w:bookmarkStart w:id="99"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1"/>
      <w:bookmarkEnd w:id="92"/>
      <w:bookmarkEnd w:id="93"/>
      <w:bookmarkEnd w:id="94"/>
      <w:bookmarkEnd w:id="95"/>
      <w:bookmarkEnd w:id="96"/>
      <w:bookmarkEnd w:id="97"/>
      <w:bookmarkEnd w:id="98"/>
      <w:bookmarkEnd w:id="99"/>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0" w:name="_Toc471492273"/>
      <w:bookmarkStart w:id="101" w:name="_Toc471499748"/>
      <w:bookmarkStart w:id="102" w:name="_Toc471501322"/>
      <w:bookmarkStart w:id="103" w:name="_Toc473532944"/>
      <w:bookmarkStart w:id="104" w:name="_Toc473533026"/>
      <w:bookmarkStart w:id="105" w:name="_Toc473533377"/>
    </w:p>
    <w:p w14:paraId="4239116C" w14:textId="7A583F4B" w:rsidR="005F7F4F" w:rsidRDefault="005F7F4F" w:rsidP="007658F2">
      <w:pPr>
        <w:pStyle w:val="Proposal"/>
      </w:pPr>
      <w:bookmarkStart w:id="106" w:name="_Toc477726051"/>
      <w:bookmarkStart w:id="107" w:name="_Toc477972476"/>
      <w:bookmarkStart w:id="108" w:name="_Toc477972571"/>
      <w:bookmarkStart w:id="109" w:name="_Toc477973285"/>
      <w:bookmarkStart w:id="110"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0"/>
      <w:bookmarkEnd w:id="101"/>
      <w:bookmarkEnd w:id="102"/>
      <w:bookmarkEnd w:id="103"/>
      <w:bookmarkEnd w:id="104"/>
      <w:bookmarkEnd w:id="105"/>
      <w:bookmarkEnd w:id="106"/>
      <w:bookmarkEnd w:id="107"/>
      <w:bookmarkEnd w:id="108"/>
      <w:bookmarkEnd w:id="109"/>
      <w:bookmarkEnd w:id="110"/>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1" w:name="_Toc471492274"/>
      <w:bookmarkStart w:id="112" w:name="_Toc471499749"/>
      <w:bookmarkStart w:id="113" w:name="_Toc471501323"/>
      <w:bookmarkStart w:id="114" w:name="_Toc473532945"/>
      <w:bookmarkStart w:id="115" w:name="_Toc473533027"/>
      <w:bookmarkStart w:id="116" w:name="_Toc473533378"/>
      <w:bookmarkStart w:id="117" w:name="_Toc477726052"/>
      <w:bookmarkStart w:id="118" w:name="_Toc477972477"/>
      <w:bookmarkStart w:id="119" w:name="_Toc477972572"/>
      <w:bookmarkStart w:id="120" w:name="_Toc477973286"/>
      <w:bookmarkStart w:id="121" w:name="_Toc477973299"/>
      <w:r>
        <w:t>The UE discards a pending conditional HO command when the condition has not been met within the validity period indicated in the HO command.</w:t>
      </w:r>
      <w:bookmarkEnd w:id="111"/>
      <w:bookmarkEnd w:id="112"/>
      <w:bookmarkEnd w:id="113"/>
      <w:bookmarkEnd w:id="114"/>
      <w:bookmarkEnd w:id="115"/>
      <w:bookmarkEnd w:id="116"/>
      <w:bookmarkEnd w:id="117"/>
      <w:bookmarkEnd w:id="118"/>
      <w:bookmarkEnd w:id="119"/>
      <w:bookmarkEnd w:id="120"/>
      <w:bookmarkEnd w:id="121"/>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xml:space="preserve">: To trigger the handover early (when the link from the source cell to the UE is still good) the serving cell must configure a low A3 event threshold. But as identified in the Rel-11/12 studies, there is a </w:t>
      </w:r>
      <w:r w:rsidRPr="006A2F2F">
        <w:lastRenderedPageBreak/>
        <w:t>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2" w:name="_In-sequence_SDU_delivery"/>
      <w:bookmarkEnd w:id="122"/>
      <w:r w:rsidRPr="00CE0424">
        <w:lastRenderedPageBreak/>
        <w:t>References</w:t>
      </w:r>
    </w:p>
    <w:bookmarkStart w:id="123"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3"/>
    </w:p>
    <w:bookmarkStart w:id="124" w:name="_Ref477970055"/>
    <w:p w14:paraId="389DCB46" w14:textId="59F9DCEA"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4"/>
      <w:r w:rsidR="00E25A33">
        <w:t xml:space="preserve"> </w:t>
      </w:r>
    </w:p>
    <w:sectPr w:rsidR="00E25A33" w:rsidRPr="00CE0424" w:rsidSect="0058339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5C1D3" w14:textId="77777777" w:rsidR="00A023D9" w:rsidRDefault="00A023D9">
      <w:r>
        <w:separator/>
      </w:r>
    </w:p>
  </w:endnote>
  <w:endnote w:type="continuationSeparator" w:id="0">
    <w:p w14:paraId="6E38B53C" w14:textId="77777777" w:rsidR="00A023D9" w:rsidRDefault="00A0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F85CAC1" w:rsidR="00D53AC4" w:rsidRDefault="00D53AC4"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A2C14" w14:textId="77777777" w:rsidR="00A023D9" w:rsidRDefault="00A023D9">
      <w:r>
        <w:separator/>
      </w:r>
    </w:p>
  </w:footnote>
  <w:footnote w:type="continuationSeparator" w:id="0">
    <w:p w14:paraId="5DF2D90D" w14:textId="77777777" w:rsidR="00A023D9" w:rsidRDefault="00A02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DB8457" w:rsidR="00D53AC4" w:rsidRDefault="00D53A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4A73"/>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67A84"/>
    <w:rsid w:val="00074231"/>
    <w:rsid w:val="00077E5F"/>
    <w:rsid w:val="0008036A"/>
    <w:rsid w:val="00081AE6"/>
    <w:rsid w:val="000855EB"/>
    <w:rsid w:val="00085B52"/>
    <w:rsid w:val="000866F2"/>
    <w:rsid w:val="0009009F"/>
    <w:rsid w:val="000913E3"/>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3CD"/>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51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07D6"/>
    <w:rsid w:val="002C41E6"/>
    <w:rsid w:val="002C6F31"/>
    <w:rsid w:val="002D071A"/>
    <w:rsid w:val="002D2267"/>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3F8C"/>
    <w:rsid w:val="003B7FE5"/>
    <w:rsid w:val="003C11C8"/>
    <w:rsid w:val="003C18FA"/>
    <w:rsid w:val="003C2702"/>
    <w:rsid w:val="003C4C81"/>
    <w:rsid w:val="003C7806"/>
    <w:rsid w:val="003D109F"/>
    <w:rsid w:val="003D2478"/>
    <w:rsid w:val="003D2FC4"/>
    <w:rsid w:val="003D3C45"/>
    <w:rsid w:val="003D5B1F"/>
    <w:rsid w:val="003E15FA"/>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1C92"/>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92BC5"/>
    <w:rsid w:val="004964F1"/>
    <w:rsid w:val="0049663C"/>
    <w:rsid w:val="004A16BC"/>
    <w:rsid w:val="004A2B94"/>
    <w:rsid w:val="004A2EA2"/>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6970"/>
    <w:rsid w:val="00554E19"/>
    <w:rsid w:val="005575AC"/>
    <w:rsid w:val="0056121F"/>
    <w:rsid w:val="00572505"/>
    <w:rsid w:val="00575D8F"/>
    <w:rsid w:val="00580202"/>
    <w:rsid w:val="005811BC"/>
    <w:rsid w:val="00582809"/>
    <w:rsid w:val="00583395"/>
    <w:rsid w:val="0058798C"/>
    <w:rsid w:val="005900FA"/>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5B2D"/>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4756"/>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23D9"/>
    <w:rsid w:val="00A048A8"/>
    <w:rsid w:val="00A04F49"/>
    <w:rsid w:val="00A07855"/>
    <w:rsid w:val="00A120F2"/>
    <w:rsid w:val="00A13E54"/>
    <w:rsid w:val="00A13F0D"/>
    <w:rsid w:val="00A17F63"/>
    <w:rsid w:val="00A2193B"/>
    <w:rsid w:val="00A22278"/>
    <w:rsid w:val="00A2351A"/>
    <w:rsid w:val="00A264A9"/>
    <w:rsid w:val="00A27785"/>
    <w:rsid w:val="00A30187"/>
    <w:rsid w:val="00A305D7"/>
    <w:rsid w:val="00A3448A"/>
    <w:rsid w:val="00A36297"/>
    <w:rsid w:val="00A40B48"/>
    <w:rsid w:val="00A41E2B"/>
    <w:rsid w:val="00A45B74"/>
    <w:rsid w:val="00A52E1D"/>
    <w:rsid w:val="00A54556"/>
    <w:rsid w:val="00A60CAD"/>
    <w:rsid w:val="00A61499"/>
    <w:rsid w:val="00A62A77"/>
    <w:rsid w:val="00A63483"/>
    <w:rsid w:val="00A657D7"/>
    <w:rsid w:val="00A660AC"/>
    <w:rsid w:val="00A67E6C"/>
    <w:rsid w:val="00A71B99"/>
    <w:rsid w:val="00A739D0"/>
    <w:rsid w:val="00A761D4"/>
    <w:rsid w:val="00A77877"/>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D6DF3"/>
    <w:rsid w:val="00AE27AC"/>
    <w:rsid w:val="00AE40E0"/>
    <w:rsid w:val="00AE4DBA"/>
    <w:rsid w:val="00AE4F07"/>
    <w:rsid w:val="00AE6C24"/>
    <w:rsid w:val="00AF0431"/>
    <w:rsid w:val="00AF1C5D"/>
    <w:rsid w:val="00AF2D8F"/>
    <w:rsid w:val="00AF3E23"/>
    <w:rsid w:val="00AF42D7"/>
    <w:rsid w:val="00B006FE"/>
    <w:rsid w:val="00B007CB"/>
    <w:rsid w:val="00B02AA9"/>
    <w:rsid w:val="00B02FA3"/>
    <w:rsid w:val="00B05084"/>
    <w:rsid w:val="00B157F9"/>
    <w:rsid w:val="00B167F1"/>
    <w:rsid w:val="00B20256"/>
    <w:rsid w:val="00B20D09"/>
    <w:rsid w:val="00B252E6"/>
    <w:rsid w:val="00B25750"/>
    <w:rsid w:val="00B2763F"/>
    <w:rsid w:val="00B27AAC"/>
    <w:rsid w:val="00B30929"/>
    <w:rsid w:val="00B372AA"/>
    <w:rsid w:val="00B40445"/>
    <w:rsid w:val="00B4149F"/>
    <w:rsid w:val="00B41888"/>
    <w:rsid w:val="00B42BDB"/>
    <w:rsid w:val="00B45A52"/>
    <w:rsid w:val="00B46175"/>
    <w:rsid w:val="00B47365"/>
    <w:rsid w:val="00B62AAA"/>
    <w:rsid w:val="00B64DB1"/>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54995"/>
    <w:rsid w:val="00C54D41"/>
    <w:rsid w:val="00C60783"/>
    <w:rsid w:val="00C628DF"/>
    <w:rsid w:val="00C64672"/>
    <w:rsid w:val="00C7053C"/>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3707"/>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F18FE"/>
    <w:rsid w:val="00EF4158"/>
    <w:rsid w:val="00EF5787"/>
    <w:rsid w:val="00EF60D0"/>
    <w:rsid w:val="00F0528D"/>
    <w:rsid w:val="00F052F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A20"/>
    <w:rsid w:val="00FE4C7B"/>
    <w:rsid w:val="00FE7336"/>
    <w:rsid w:val="00FE787C"/>
    <w:rsid w:val="00FE7D83"/>
    <w:rsid w:val="00FF45A5"/>
    <w:rsid w:val="00FF5C91"/>
    <w:rsid w:val="00FF727E"/>
    <w:rsid w:val="036FD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B4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40B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B4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5NUHHDQN7SK2-1476151046-15645</_dlc_DocId>
    <_dlc_DocIdUrl xmlns="f166a696-7b5b-4ccd-9f0c-ffde0cceec81">
      <Url>https://ericsson.sharepoint.com/sites/star/_layouts/15/DocIdRedir.aspx?ID=5NUHHDQN7SK2-1476151046-15645</Url>
      <Description>5NUHHDQN7SK2-1476151046-15645</Description>
    </_dlc_DocIdUrl>
  </documentManagement>
</p:properties>
</file>

<file path=customXml/itemProps1.xml><?xml version="1.0" encoding="utf-8"?>
<ds:datastoreItem xmlns:ds="http://schemas.openxmlformats.org/officeDocument/2006/customXml" ds:itemID="{37CA7696-5881-4F60-90B5-5D56922DFFD1}">
  <ds:schemaRefs>
    <ds:schemaRef ds:uri="http://schemas.microsoft.com/sharepoint/v3/contenttype/forms"/>
  </ds:schemaRefs>
</ds:datastoreItem>
</file>

<file path=customXml/itemProps2.xml><?xml version="1.0" encoding="utf-8"?>
<ds:datastoreItem xmlns:ds="http://schemas.openxmlformats.org/officeDocument/2006/customXml" ds:itemID="{E55B21C9-4D7E-44A0-9B15-62C7E6119B35}">
  <ds:schemaRefs>
    <ds:schemaRef ds:uri="http://schemas.microsoft.com/sharepoint/events"/>
  </ds:schemaRefs>
</ds:datastoreItem>
</file>

<file path=customXml/itemProps3.xml><?xml version="1.0" encoding="utf-8"?>
<ds:datastoreItem xmlns:ds="http://schemas.openxmlformats.org/officeDocument/2006/customXml" ds:itemID="{19C79579-F4BD-44D6-B614-11849CC2C7C9}">
  <ds:schemaRefs>
    <ds:schemaRef ds:uri="Microsoft.SharePoint.Taxonomy.ContentTypeSync"/>
  </ds:schemaRefs>
</ds:datastoreItem>
</file>

<file path=customXml/itemProps4.xml><?xml version="1.0" encoding="utf-8"?>
<ds:datastoreItem xmlns:ds="http://schemas.openxmlformats.org/officeDocument/2006/customXml" ds:itemID="{32EB0AEC-1EBA-4922-9BA4-6ABA808B9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0D4424-C262-4432-A577-A49BB68744FB}">
  <ds:schemaRefs>
    <ds:schemaRef ds:uri="http://purl.org/dc/dcmitype/"/>
    <ds:schemaRef ds:uri="http://purl.org/dc/elements/1.1/"/>
    <ds:schemaRef ds:uri="f166a696-7b5b-4ccd-9f0c-ffde0cceec8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d8762117-8292-4133-b1c7-eab5c6487cfd"/>
    <ds:schemaRef ds:uri="611109f9-ed58-4498-a270-1fb2086a532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2331</Words>
  <Characters>13290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2018-01-12T06:07:00Z</dcterms:created>
  <dcterms:modified xsi:type="dcterms:W3CDTF">2018-01-12T06:07:00Z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a3e5739b-c62e-463d-b923-e196b612d877</vt:lpwstr>
  </property>
</Properties>
</file>